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09029C4" w14:textId="77777777" w:rsidR="009C1105" w:rsidRDefault="00000000">
      <w:pPr>
        <w:spacing w:after="20" w:line="276" w:lineRule="auto"/>
        <w:jc w:val="center"/>
      </w:pPr>
      <w:r>
        <w:rPr>
          <w:b/>
          <w:bCs/>
          <w:color w:val="1B365D"/>
          <w:sz w:val="22"/>
          <w:szCs w:val="22"/>
        </w:rPr>
        <w:t>ИНДИВИДУАЛЬНЫЙ ПРЕДПРИНИМАТЕЛЬ</w:t>
      </w:r>
    </w:p>
    <w:p w14:paraId="759F0FBA" w14:textId="77777777" w:rsidR="009C1105" w:rsidRDefault="00000000">
      <w:pPr>
        <w:spacing w:after="80" w:line="276" w:lineRule="auto"/>
        <w:jc w:val="center"/>
      </w:pPr>
      <w:r>
        <w:rPr>
          <w:b/>
          <w:bCs/>
          <w:color w:val="1B365D"/>
          <w:sz w:val="22"/>
          <w:szCs w:val="22"/>
        </w:rPr>
        <w:t>РОЖКОВ РОМАН АЛЕКСАНДРОВИЧ</w:t>
      </w:r>
    </w:p>
    <w:p w14:paraId="722B565E" w14:textId="77777777" w:rsidR="009C1105" w:rsidRDefault="00000000">
      <w:pPr>
        <w:spacing w:after="20" w:line="276" w:lineRule="auto"/>
        <w:jc w:val="center"/>
      </w:pPr>
      <w:r>
        <w:rPr>
          <w:color w:val="000000"/>
        </w:rPr>
        <w:t>ИНН 615429086286    ОГРНИП 323619600099651</w:t>
      </w:r>
    </w:p>
    <w:p w14:paraId="039D4179" w14:textId="77777777" w:rsidR="009C1105" w:rsidRPr="00E01B79" w:rsidRDefault="00000000">
      <w:pPr>
        <w:spacing w:after="160" w:line="276" w:lineRule="auto"/>
        <w:jc w:val="center"/>
        <w:rPr>
          <w:lang w:val="en-US"/>
        </w:rPr>
      </w:pPr>
      <w:r>
        <w:rPr>
          <w:color w:val="000000"/>
        </w:rPr>
        <w:t>сервис</w:t>
      </w:r>
      <w:r w:rsidRPr="00E01B79">
        <w:rPr>
          <w:color w:val="000000"/>
          <w:lang w:val="en-US"/>
        </w:rPr>
        <w:t xml:space="preserve"> </w:t>
      </w:r>
      <w:proofErr w:type="spellStart"/>
      <w:r w:rsidRPr="00E01B79">
        <w:rPr>
          <w:color w:val="000000"/>
          <w:lang w:val="en-US"/>
        </w:rPr>
        <w:t>Talantiq</w:t>
      </w:r>
      <w:proofErr w:type="spellEnd"/>
      <w:r w:rsidRPr="00E01B79">
        <w:rPr>
          <w:color w:val="000000"/>
          <w:lang w:val="en-US"/>
        </w:rPr>
        <w:t xml:space="preserve">    https://talantiq.ru</w:t>
      </w:r>
    </w:p>
    <w:p w14:paraId="42E57308" w14:textId="77777777" w:rsidR="009C1105" w:rsidRPr="00E01B79" w:rsidRDefault="00000000">
      <w:pPr>
        <w:spacing w:after="40" w:line="276" w:lineRule="auto"/>
        <w:jc w:val="center"/>
        <w:rPr>
          <w:lang w:val="en-US"/>
        </w:rPr>
      </w:pPr>
      <w:r>
        <w:rPr>
          <w:b/>
          <w:bCs/>
          <w:color w:val="1B365D"/>
          <w:sz w:val="32"/>
          <w:szCs w:val="32"/>
        </w:rPr>
        <w:t>ПЕРЕЧЕНЬ</w:t>
      </w:r>
    </w:p>
    <w:p w14:paraId="777ADCF5" w14:textId="77777777" w:rsidR="009C1105" w:rsidRDefault="00000000">
      <w:pPr>
        <w:spacing w:after="160" w:line="276" w:lineRule="auto"/>
        <w:jc w:val="center"/>
      </w:pPr>
      <w:r>
        <w:rPr>
          <w:b/>
          <w:bCs/>
          <w:color w:val="1B365D"/>
        </w:rPr>
        <w:t>процессов обработки персональных данных</w:t>
      </w:r>
    </w:p>
    <w:p w14:paraId="05EEB178" w14:textId="77777777" w:rsidR="009C1105" w:rsidRDefault="00000000">
      <w:pPr>
        <w:spacing w:after="200" w:line="276" w:lineRule="auto"/>
      </w:pPr>
      <w:r>
        <w:rPr>
          <w:color w:val="000000"/>
        </w:rPr>
        <w:t>Редакция от 14 сентября 2026 г.</w:t>
      </w:r>
    </w:p>
    <w:p w14:paraId="311AFF25" w14:textId="77777777" w:rsidR="009C1105" w:rsidRDefault="00000000">
      <w:pPr>
        <w:spacing w:after="140" w:line="276" w:lineRule="auto"/>
        <w:ind w:firstLine="360"/>
        <w:jc w:val="both"/>
      </w:pPr>
      <w:r>
        <w:rPr>
          <w:color w:val="000000"/>
        </w:rPr>
        <w:t>Документ составлен во исполнение пункта 2 части 1 статьи 18.1 Федерального закона от 27.07.2006 № 152-ФЗ «О персональных данных». Для каждого процесса указаны цель, правовое основание, категории субъектов, перечень данных, действия, способ обработки, получатели и срок. Биометрические персональные данные и специальные категории персональных данных ни в одном процессе не обрабатываются.</w:t>
      </w:r>
    </w:p>
    <w:p w14:paraId="73BAEAE8" w14:textId="77777777" w:rsidR="009C1105" w:rsidRDefault="00000000">
      <w:pPr>
        <w:keepNext/>
        <w:pBdr>
          <w:bottom w:val="single" w:sz="12" w:space="4" w:color="1B365D"/>
        </w:pBdr>
        <w:spacing w:before="280" w:after="160"/>
      </w:pPr>
      <w:r>
        <w:rPr>
          <w:b/>
          <w:bCs/>
          <w:color w:val="1B365D"/>
          <w:sz w:val="26"/>
          <w:szCs w:val="26"/>
        </w:rPr>
        <w:t>Общие условия для всех процессов</w:t>
      </w:r>
    </w:p>
    <w:p w14:paraId="64D2B686" w14:textId="0E0181B9" w:rsidR="009C1105" w:rsidRPr="00E01B79" w:rsidRDefault="00000000" w:rsidP="00E01B79">
      <w:pPr>
        <w:spacing w:after="140" w:line="276" w:lineRule="auto"/>
        <w:ind w:firstLine="360"/>
        <w:jc w:val="both"/>
        <w:rPr>
          <w:color w:val="000000"/>
        </w:rPr>
      </w:pPr>
      <w:r>
        <w:rPr>
          <w:color w:val="000000"/>
        </w:rPr>
        <w:t xml:space="preserve">Оператор </w:t>
      </w:r>
      <w:r w:rsidR="00E01B79">
        <w:rPr>
          <w:color w:val="000000"/>
        </w:rPr>
        <w:t>–</w:t>
      </w:r>
      <w:r>
        <w:rPr>
          <w:color w:val="000000"/>
        </w:rPr>
        <w:t xml:space="preserve"> индивидуальный предприниматель Рожков Роман Александрович. Способ обработки во всех процессах смешанный: преимущественно автоматизированный, с отдельными неавтоматизированными действиями поддержки и уничтожения по акту. Трансграничная передача не производится. Базы данных граждан Российской Федерации находятся на территории Российской Федерации. Банковские карты, CVV и расчётные счета Оператор не собирает.</w:t>
      </w:r>
    </w:p>
    <w:p w14:paraId="02B11045" w14:textId="77777777" w:rsidR="009C1105" w:rsidRDefault="00000000">
      <w:pPr>
        <w:spacing w:after="140" w:line="276" w:lineRule="auto"/>
        <w:ind w:firstLine="360"/>
        <w:jc w:val="both"/>
      </w:pPr>
      <w:r>
        <w:rPr>
          <w:color w:val="000000"/>
        </w:rPr>
        <w:t>Уничтожение по всем процессам: удаление из рабочей базы так, чтобы штатными средствами нельзя было восстановить содержание, с оформлением акта об уничтожении, если уничтожение идёт по требованию субъекта, по истечении срока либо по решению администрации.</w:t>
      </w:r>
    </w:p>
    <w:p w14:paraId="5DC9D585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 xml:space="preserve">Процесс 1. Обеспечение работы Сайта, технические </w:t>
      </w:r>
      <w:proofErr w:type="spellStart"/>
      <w:r>
        <w:rPr>
          <w:b/>
          <w:bCs/>
          <w:color w:val="2C4A6E"/>
          <w:sz w:val="26"/>
          <w:szCs w:val="26"/>
        </w:rPr>
        <w:t>cookie</w:t>
      </w:r>
      <w:proofErr w:type="spellEnd"/>
      <w:r>
        <w:rPr>
          <w:b/>
          <w:bCs/>
          <w:color w:val="2C4A6E"/>
          <w:sz w:val="26"/>
          <w:szCs w:val="26"/>
        </w:rPr>
        <w:t xml:space="preserve"> и защита </w:t>
      </w:r>
      <w:proofErr w:type="spellStart"/>
      <w:r>
        <w:rPr>
          <w:b/>
          <w:bCs/>
          <w:color w:val="2C4A6E"/>
          <w:sz w:val="26"/>
          <w:szCs w:val="26"/>
        </w:rPr>
        <w:t>DDoS</w:t>
      </w:r>
      <w:proofErr w:type="spellEnd"/>
      <w:r>
        <w:rPr>
          <w:b/>
          <w:bCs/>
          <w:color w:val="2C4A6E"/>
          <w:sz w:val="26"/>
          <w:szCs w:val="26"/>
        </w:rPr>
        <w:t>-Guard</w:t>
      </w:r>
    </w:p>
    <w:p w14:paraId="231140D6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Открыть страницы Сайта, сохранить сессию, запомнить факт принятия документов, защитить Сайт от ботов и атак.</w:t>
      </w:r>
    </w:p>
    <w:p w14:paraId="67F12356" w14:textId="0D48C6A1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Пункт 5 части 1 статьи 6 Закона </w:t>
      </w:r>
      <w:r w:rsidR="00E01B79">
        <w:rPr>
          <w:color w:val="000000"/>
        </w:rPr>
        <w:t>–</w:t>
      </w:r>
      <w:r>
        <w:rPr>
          <w:color w:val="000000"/>
        </w:rPr>
        <w:t xml:space="preserve"> использование Сайта по инициативе посетителя.</w:t>
      </w:r>
    </w:p>
    <w:p w14:paraId="28E59307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Посетители Сайта, включая незарегистрированных.</w:t>
      </w:r>
    </w:p>
    <w:p w14:paraId="0A4645E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 xml:space="preserve">IP-адрес; технические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сессии, защиты форм и памяти о согласиях;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DDoS</w:t>
      </w:r>
      <w:proofErr w:type="spellEnd"/>
      <w:r>
        <w:rPr>
          <w:color w:val="000000"/>
        </w:rPr>
        <w:t>-Guard (__ddg1_ и иные __</w:t>
      </w:r>
      <w:proofErr w:type="spellStart"/>
      <w:r>
        <w:rPr>
          <w:color w:val="000000"/>
        </w:rPr>
        <w:t>ddg</w:t>
      </w:r>
      <w:proofErr w:type="spellEnd"/>
      <w:r>
        <w:rPr>
          <w:color w:val="000000"/>
        </w:rPr>
        <w:t>*); сведения о браузере и устройстве; технические логи.</w:t>
      </w:r>
    </w:p>
    <w:p w14:paraId="44F4073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Сбор, запись, хранение, использование, удаление, уничтожение.</w:t>
      </w:r>
    </w:p>
    <w:p w14:paraId="60C54BC0" w14:textId="52A0221B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 xml:space="preserve">ООО «ДДОС-ГВАРД» </w:t>
      </w:r>
      <w:r w:rsidR="00E01B79">
        <w:rPr>
          <w:color w:val="000000"/>
        </w:rPr>
        <w:t>–</w:t>
      </w:r>
      <w:r>
        <w:rPr>
          <w:color w:val="000000"/>
        </w:rPr>
        <w:t xml:space="preserve"> в объёме, нужном для фильтрации трафика.</w:t>
      </w:r>
    </w:p>
    <w:p w14:paraId="0BF7FA3E" w14:textId="73B0D5DE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 xml:space="preserve">Сессионные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</w:t>
      </w:r>
      <w:r w:rsidR="00E01B79">
        <w:rPr>
          <w:color w:val="000000"/>
        </w:rPr>
        <w:t>м</w:t>
      </w:r>
      <w:r>
        <w:rPr>
          <w:color w:val="000000"/>
        </w:rPr>
        <w:t xml:space="preserve"> до закрытия браузера. Постоянные технические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</w:t>
      </w:r>
      <w:r w:rsidR="00E01B79">
        <w:rPr>
          <w:color w:val="000000"/>
        </w:rPr>
        <w:t>–</w:t>
      </w:r>
      <w:r>
        <w:rPr>
          <w:color w:val="000000"/>
        </w:rPr>
        <w:t xml:space="preserve"> до одного года. Логи Сайта </w:t>
      </w:r>
      <w:r w:rsidR="00E01B79">
        <w:rPr>
          <w:color w:val="000000"/>
        </w:rPr>
        <w:t>–</w:t>
      </w:r>
      <w:r>
        <w:rPr>
          <w:color w:val="000000"/>
        </w:rPr>
        <w:t xml:space="preserve"> три года.</w:t>
      </w:r>
    </w:p>
    <w:p w14:paraId="4347C8CE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lastRenderedPageBreak/>
        <w:t>Процесс 2. Аналитика посещаемости (</w:t>
      </w:r>
      <w:proofErr w:type="spellStart"/>
      <w:r>
        <w:rPr>
          <w:b/>
          <w:bCs/>
          <w:color w:val="2C4A6E"/>
          <w:sz w:val="26"/>
          <w:szCs w:val="26"/>
        </w:rPr>
        <w:t>Яндекс.Метрика</w:t>
      </w:r>
      <w:proofErr w:type="spellEnd"/>
      <w:r>
        <w:rPr>
          <w:b/>
          <w:bCs/>
          <w:color w:val="2C4A6E"/>
          <w:sz w:val="26"/>
          <w:szCs w:val="26"/>
        </w:rPr>
        <w:t>)</w:t>
      </w:r>
    </w:p>
    <w:p w14:paraId="33EF6E17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Обезличенная оценка посещаемости, источников перехода и поведения на страницах для улучшения Сайта.</w:t>
      </w:r>
    </w:p>
    <w:p w14:paraId="035F2760" w14:textId="246C2D8E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Пункт 1 части 1 статьи 6 Закона </w:t>
      </w:r>
      <w:r w:rsidR="00E01B79">
        <w:rPr>
          <w:color w:val="000000"/>
        </w:rPr>
        <w:t>–</w:t>
      </w:r>
      <w:r>
        <w:rPr>
          <w:color w:val="000000"/>
        </w:rPr>
        <w:t xml:space="preserve"> согласие на аналитические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.</w:t>
      </w:r>
    </w:p>
    <w:p w14:paraId="74763822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 xml:space="preserve">Посетители Сайта, принявшие аналитические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>.</w:t>
      </w:r>
    </w:p>
    <w:p w14:paraId="76545B4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 xml:space="preserve">IP-адрес; идентификаторы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Метрики (_</w:t>
      </w:r>
      <w:proofErr w:type="spellStart"/>
      <w:r>
        <w:rPr>
          <w:color w:val="000000"/>
        </w:rPr>
        <w:t>ym_uid</w:t>
      </w:r>
      <w:proofErr w:type="spellEnd"/>
      <w:r>
        <w:rPr>
          <w:color w:val="000000"/>
        </w:rPr>
        <w:t>, _</w:t>
      </w:r>
      <w:proofErr w:type="spellStart"/>
      <w:r>
        <w:rPr>
          <w:color w:val="000000"/>
        </w:rPr>
        <w:t>ym_d</w:t>
      </w:r>
      <w:proofErr w:type="spellEnd"/>
      <w:r>
        <w:rPr>
          <w:color w:val="000000"/>
        </w:rPr>
        <w:t xml:space="preserve"> и иные); URL страниц; источник перехода; тип устройства, браузер, ОС, разрешение экрана, язык, часовой пояс; сведения о действиях на Сайте. Яндекс может формировать предположения о географии, поле, возрасте и интересах. Оператор юридически значимых решений по таким предположениям не принимает.</w:t>
      </w:r>
    </w:p>
    <w:p w14:paraId="1D3E6E10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Сбор, запись, передача ООО «Яндекс», использование в виде сводных отчётов, обезличивание, удаление.</w:t>
      </w:r>
    </w:p>
    <w:p w14:paraId="7F11295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>ООО «Яндекс», ИНН 7736207543, г. Москва, ул. Льва Толстого, д. 16.</w:t>
      </w:r>
    </w:p>
    <w:p w14:paraId="506CAE8C" w14:textId="0C95072F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 xml:space="preserve">Аналитические </w:t>
      </w:r>
      <w:proofErr w:type="spellStart"/>
      <w:r>
        <w:rPr>
          <w:color w:val="000000"/>
        </w:rPr>
        <w:t>cookie</w:t>
      </w:r>
      <w:proofErr w:type="spellEnd"/>
      <w:r>
        <w:rPr>
          <w:color w:val="000000"/>
        </w:rPr>
        <w:t xml:space="preserve"> </w:t>
      </w:r>
      <w:r w:rsidR="00E01B79">
        <w:rPr>
          <w:color w:val="000000"/>
        </w:rPr>
        <w:t>–</w:t>
      </w:r>
      <w:r>
        <w:rPr>
          <w:color w:val="000000"/>
        </w:rPr>
        <w:t xml:space="preserve"> не более двух лет, если меньший срок не задан самим файлом. Отчёты Оператора хранятся в обобщённом виде без идентификации посетителя.</w:t>
      </w:r>
    </w:p>
    <w:p w14:paraId="747121EC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3. Регистрация и ведение кабинета работодателя</w:t>
      </w:r>
    </w:p>
    <w:p w14:paraId="332F5E9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Создать учётную запись клиента, заключить и исполнить оферту для работодателя, дать доступ к кабинету.</w:t>
      </w:r>
    </w:p>
    <w:p w14:paraId="3B4D5486" w14:textId="7B78EE88" w:rsidR="009C1105" w:rsidRPr="00FB1079" w:rsidRDefault="00000000" w:rsidP="00FB1079">
      <w:pPr>
        <w:spacing w:after="140" w:line="276" w:lineRule="auto"/>
        <w:ind w:firstLine="360"/>
        <w:jc w:val="both"/>
        <w:rPr>
          <w:color w:val="000000"/>
        </w:rPr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>Пункты 1 и 5 части 1 статьи 6 Закона</w:t>
      </w:r>
      <w:r w:rsidR="00FB1079">
        <w:rPr>
          <w:color w:val="000000"/>
        </w:rPr>
        <w:t xml:space="preserve"> –</w:t>
      </w:r>
      <w:r>
        <w:rPr>
          <w:color w:val="000000"/>
        </w:rPr>
        <w:t xml:space="preserve"> согласие контактного лица и договор-оферта.</w:t>
      </w:r>
    </w:p>
    <w:p w14:paraId="20B067F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Контактные лица юридических лиц и индивидуальных предпринимателей, регистрирующихся как работодатели.</w:t>
      </w:r>
    </w:p>
    <w:p w14:paraId="2A90DC3A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Фамилия, имя, отчество; адрес электронной почты; номер телефона; наименование компании; ИНН; данные учётной записи; сведения о тарифе и подписке; IP-адрес; содержание обращений.</w:t>
      </w:r>
    </w:p>
    <w:p w14:paraId="125D55B8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Сбор, запись, систематизация, накопление, хранение, уточнение, извлечение, использование, блокирование, удаление, уничтожение.</w:t>
      </w:r>
    </w:p>
    <w:p w14:paraId="21AE339C" w14:textId="2C660228" w:rsidR="009C1105" w:rsidRPr="00FB1079" w:rsidRDefault="00000000" w:rsidP="00FB1079">
      <w:pPr>
        <w:spacing w:after="140" w:line="276" w:lineRule="auto"/>
        <w:ind w:firstLine="360"/>
        <w:jc w:val="both"/>
        <w:rPr>
          <w:color w:val="000000"/>
        </w:rPr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 xml:space="preserve">Внутри Оператора </w:t>
      </w:r>
      <w:r w:rsidR="00E01B79">
        <w:rPr>
          <w:color w:val="000000"/>
        </w:rPr>
        <w:t>–</w:t>
      </w:r>
      <w:r>
        <w:rPr>
          <w:color w:val="000000"/>
        </w:rPr>
        <w:t xml:space="preserve"> владелец и администратор Сервиса. Государственные органы </w:t>
      </w:r>
      <w:r w:rsidR="00FB1079">
        <w:rPr>
          <w:color w:val="000000"/>
        </w:rPr>
        <w:t>–</w:t>
      </w:r>
      <w:r>
        <w:rPr>
          <w:color w:val="000000"/>
        </w:rPr>
        <w:t xml:space="preserve"> по закону.</w:t>
      </w:r>
    </w:p>
    <w:p w14:paraId="32FEB141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>Весь срок договора плюс до пяти лет после окончания, если кабинет не удалён раньше по решению администрации либо по требованию клиента. После окончания подписки доступ в кабинет может сохраняться до пяти лет.</w:t>
      </w:r>
    </w:p>
    <w:p w14:paraId="6FE2CC53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4. Приём оплаты подписки работодателя</w:t>
      </w:r>
    </w:p>
    <w:p w14:paraId="6AC57174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Принять оплату тарифа и направить кассовый чек.</w:t>
      </w:r>
    </w:p>
    <w:p w14:paraId="339E5F29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>Пункт 5 части 1 статьи 6 Закона; законодательство о применении контрольно-кассовой техники.</w:t>
      </w:r>
    </w:p>
    <w:p w14:paraId="5DB570A6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Контактные лица клиентов, оплачивающих подписку.</w:t>
      </w:r>
    </w:p>
    <w:p w14:paraId="14AF787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lastRenderedPageBreak/>
        <w:t xml:space="preserve">Данные. </w:t>
      </w:r>
      <w:r>
        <w:rPr>
          <w:color w:val="000000"/>
        </w:rPr>
        <w:t>Адрес электронной почты для чека; сумма; идентификатор заказа и платежа. Номер карты, срок её действия и CVV Оператор не получает.</w:t>
      </w:r>
    </w:p>
    <w:p w14:paraId="2AACE66A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Передача платёжному агрегатору сведений, нужных для платежа; получение подтверждения оплаты; хранение сведений о расчёте.</w:t>
      </w:r>
    </w:p>
    <w:p w14:paraId="4610360B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>ООО НКО «</w:t>
      </w:r>
      <w:proofErr w:type="spellStart"/>
      <w:r>
        <w:rPr>
          <w:color w:val="000000"/>
        </w:rPr>
        <w:t>ЮМани</w:t>
      </w:r>
      <w:proofErr w:type="spellEnd"/>
      <w:r>
        <w:rPr>
          <w:color w:val="000000"/>
        </w:rPr>
        <w:t>» (</w:t>
      </w:r>
      <w:proofErr w:type="spellStart"/>
      <w:r>
        <w:rPr>
          <w:color w:val="000000"/>
        </w:rPr>
        <w:t>ЮKassa</w:t>
      </w:r>
      <w:proofErr w:type="spellEnd"/>
      <w:r>
        <w:rPr>
          <w:color w:val="000000"/>
        </w:rPr>
        <w:t>), ОГРН 1127711000031, ИНН 7750005725, г. Москва, ул. Садовническая, д. 82, стр. 2.</w:t>
      </w:r>
    </w:p>
    <w:p w14:paraId="76F60D0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>Сроки бухгалтерского и налогового учёта по документам о расчётах.</w:t>
      </w:r>
    </w:p>
    <w:p w14:paraId="585F8962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5. Регистрация и ведение кабинета кандидата</w:t>
      </w:r>
    </w:p>
    <w:p w14:paraId="64265063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Создать кабинет кандидата, исполнить оферту для кандидата, дать доступ к профилю, приглашениям и купленным отчётам.</w:t>
      </w:r>
    </w:p>
    <w:p w14:paraId="2CE6D35D" w14:textId="5FE89021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Пункты 1 и 5 части 1 статьи 6 Закона </w:t>
      </w:r>
      <w:r w:rsidR="00E01B79">
        <w:rPr>
          <w:color w:val="000000"/>
        </w:rPr>
        <w:t>–</w:t>
      </w:r>
      <w:r>
        <w:rPr>
          <w:color w:val="000000"/>
        </w:rPr>
        <w:t xml:space="preserve"> согласие кандидата и договор-оферта.</w:t>
      </w:r>
    </w:p>
    <w:p w14:paraId="2E4751C1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Физические лица, регистрирующие кабинет кандидата.</w:t>
      </w:r>
    </w:p>
    <w:p w14:paraId="0118311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 xml:space="preserve">Фамилия, имя, отчество либо имя; адрес электронной почты; номер телефона; город; навыки, опыт работы, образование и иные сведения, которые кандидат сам вносит в свободные поля; ссылки на </w:t>
      </w:r>
      <w:proofErr w:type="spellStart"/>
      <w:r>
        <w:rPr>
          <w:color w:val="000000"/>
        </w:rPr>
        <w:t>Telegram</w:t>
      </w:r>
      <w:proofErr w:type="spellEnd"/>
      <w:r>
        <w:rPr>
          <w:color w:val="000000"/>
        </w:rPr>
        <w:t>, «ВКонтакте», сайт; IP-адрес; сведения о приглашениях.</w:t>
      </w:r>
    </w:p>
    <w:p w14:paraId="181FAF8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Сбор, запись, систематизация, накопление, хранение, уточнение, извлечение, использование, блокирование, удаление, уничтожение.</w:t>
      </w:r>
    </w:p>
    <w:p w14:paraId="129E5B31" w14:textId="05F8F6D2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 xml:space="preserve">Внутри Оператора </w:t>
      </w:r>
      <w:r w:rsidR="00E01B79">
        <w:rPr>
          <w:color w:val="000000"/>
        </w:rPr>
        <w:t>–</w:t>
      </w:r>
      <w:r>
        <w:rPr>
          <w:color w:val="000000"/>
        </w:rPr>
        <w:t xml:space="preserve"> владелец, администратор и помощники администратора в пределах поддержки. Другим работодателям профиль кандидата не передаётся.</w:t>
      </w:r>
    </w:p>
    <w:p w14:paraId="601D10C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>До пяти лет либо до удаления аккаунта кандидатом или Оператором.</w:t>
      </w:r>
    </w:p>
    <w:p w14:paraId="561A47D3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6. Направление приглашения на оценку</w:t>
      </w:r>
    </w:p>
    <w:p w14:paraId="4942467D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Направить кандидату ссылку на оценку конкретного работодателя.</w:t>
      </w:r>
    </w:p>
    <w:p w14:paraId="0E970547" w14:textId="0E984DEF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Часть 3 статьи 6 Закона </w:t>
      </w:r>
      <w:r w:rsidR="00E01B79">
        <w:rPr>
          <w:color w:val="000000"/>
        </w:rPr>
        <w:t>–</w:t>
      </w:r>
      <w:r>
        <w:rPr>
          <w:color w:val="000000"/>
        </w:rPr>
        <w:t xml:space="preserve"> поручение работодателя; согласие кандидата.</w:t>
      </w:r>
    </w:p>
    <w:p w14:paraId="52B21C6E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Кандидаты и работники, которых работодатель приглашает на оценку.</w:t>
      </w:r>
    </w:p>
    <w:p w14:paraId="15F9852D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Адрес электронной почты; имя (если указано работодателем); наименование компании работодателя; вакансия; статус приглашения.</w:t>
      </w:r>
    </w:p>
    <w:p w14:paraId="2076C154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Источник. </w:t>
      </w:r>
      <w:r>
        <w:rPr>
          <w:color w:val="000000"/>
        </w:rPr>
        <w:t>Работодатель указывает почту либо сотрудник клиента вносит данные вручную. Остальные сведения профиля кандидат вносит сам.</w:t>
      </w:r>
    </w:p>
    <w:p w14:paraId="06E36CEA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 от работодателя, запись, использование для отправки письма и открытия ссылки, хранение статуса, удаление.</w:t>
      </w:r>
    </w:p>
    <w:p w14:paraId="5DD605BA" w14:textId="088FC6B8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 xml:space="preserve">Приглашённый кандидат (видит компанию и вакансию). Почтовый сервис </w:t>
      </w:r>
      <w:r w:rsidR="00E01B79">
        <w:rPr>
          <w:color w:val="000000"/>
        </w:rPr>
        <w:t>–</w:t>
      </w:r>
      <w:r>
        <w:rPr>
          <w:color w:val="000000"/>
        </w:rPr>
        <w:t xml:space="preserve"> только для доставки письма.</w:t>
      </w:r>
    </w:p>
    <w:p w14:paraId="76A69DAA" w14:textId="097FD2DD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lastRenderedPageBreak/>
        <w:t xml:space="preserve">Срок. </w:t>
      </w:r>
      <w:r>
        <w:rPr>
          <w:color w:val="000000"/>
        </w:rPr>
        <w:t xml:space="preserve">Пока действует приглашение и связанная оценка, в пределах общих сроков хранения результатов </w:t>
      </w:r>
      <w:r w:rsidR="00E01B79">
        <w:rPr>
          <w:color w:val="000000"/>
        </w:rPr>
        <w:t>–</w:t>
      </w:r>
      <w:r>
        <w:rPr>
          <w:color w:val="000000"/>
        </w:rPr>
        <w:t xml:space="preserve"> от 30 дней до пяти лет.</w:t>
      </w:r>
    </w:p>
    <w:p w14:paraId="70FB6E94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7. Проведение оценки и формирование заключения для работодателя</w:t>
      </w:r>
    </w:p>
    <w:p w14:paraId="78CE0C4A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Провести тестирование, опрос либо иную оценку, посчитать баллы и показать работодателю заключение.</w:t>
      </w:r>
    </w:p>
    <w:p w14:paraId="13BA5BB6" w14:textId="49D052C9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Часть 3 статьи 6 Закона </w:t>
      </w:r>
      <w:r w:rsidR="00E01B79">
        <w:rPr>
          <w:color w:val="000000"/>
        </w:rPr>
        <w:t>–</w:t>
      </w:r>
      <w:r>
        <w:rPr>
          <w:color w:val="000000"/>
        </w:rPr>
        <w:t xml:space="preserve"> поручение работодателя; согласие кандидата; договор с работодателем.</w:t>
      </w:r>
    </w:p>
    <w:p w14:paraId="6F5D0D16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Кандидаты и работники, проходящие оценку.</w:t>
      </w:r>
    </w:p>
    <w:p w14:paraId="5FCBF921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Ответы на вопросы; баллы; дата и длительность прохождения; текстовое и графическое заключение.</w:t>
      </w:r>
    </w:p>
    <w:p w14:paraId="2F2155A9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Сбор, запись, систематизация, использование, автоматический подсчёт баллов, построение отчёта, предоставление работодателю и его допущенным пользователям, хранение, блокирование, удаление, уничтожение, обезличивание для статистики.</w:t>
      </w:r>
    </w:p>
    <w:p w14:paraId="2CDFF2BD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>Только пригласивший работодатель и его помощники. Иным клиентам результаты не передаются.</w:t>
      </w:r>
    </w:p>
    <w:p w14:paraId="266FF4EF" w14:textId="4C0468F4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 xml:space="preserve">От 30 дней до пяти лет после завершения теста, но не более пяти лет. Максимальный потолок хранения в Сервисе </w:t>
      </w:r>
      <w:r w:rsidR="00E01B79">
        <w:rPr>
          <w:color w:val="000000"/>
        </w:rPr>
        <w:t>–</w:t>
      </w:r>
      <w:r>
        <w:rPr>
          <w:color w:val="000000"/>
        </w:rPr>
        <w:t xml:space="preserve"> пять лет.</w:t>
      </w:r>
    </w:p>
    <w:p w14:paraId="3014381C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 xml:space="preserve">Процесс 8. Запись, хранение и показ </w:t>
      </w:r>
      <w:proofErr w:type="spellStart"/>
      <w:r>
        <w:rPr>
          <w:b/>
          <w:bCs/>
          <w:color w:val="2C4A6E"/>
          <w:sz w:val="26"/>
          <w:szCs w:val="26"/>
        </w:rPr>
        <w:t>видеоответа</w:t>
      </w:r>
      <w:proofErr w:type="spellEnd"/>
    </w:p>
    <w:p w14:paraId="12B9685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 xml:space="preserve">Сохранить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 xml:space="preserve"> как содержание ответа на вопросы и показать его только пригласившему работодателю в его кабинете.</w:t>
      </w:r>
    </w:p>
    <w:p w14:paraId="6DE55142" w14:textId="47E03387" w:rsidR="009C1105" w:rsidRPr="00FB1079" w:rsidRDefault="00000000" w:rsidP="00FB1079">
      <w:pPr>
        <w:spacing w:after="140" w:line="276" w:lineRule="auto"/>
        <w:ind w:firstLine="360"/>
        <w:jc w:val="both"/>
        <w:rPr>
          <w:color w:val="000000"/>
        </w:rPr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Согласие кандидата на передачу конкретному работодателю; часть 3 статьи 6 Закона </w:t>
      </w:r>
      <w:r w:rsidR="00FB1079">
        <w:rPr>
          <w:color w:val="000000"/>
        </w:rPr>
        <w:t>–</w:t>
      </w:r>
      <w:r>
        <w:rPr>
          <w:color w:val="000000"/>
        </w:rPr>
        <w:t xml:space="preserve"> поручение работодателя.</w:t>
      </w:r>
    </w:p>
    <w:p w14:paraId="116B47E4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 xml:space="preserve">Кандидаты и работники, записывающие </w:t>
      </w:r>
      <w:proofErr w:type="spellStart"/>
      <w:r>
        <w:rPr>
          <w:color w:val="000000"/>
        </w:rPr>
        <w:t>видеоответ</w:t>
      </w:r>
      <w:proofErr w:type="spellEnd"/>
      <w:r>
        <w:rPr>
          <w:color w:val="000000"/>
        </w:rPr>
        <w:t>.</w:t>
      </w:r>
    </w:p>
    <w:p w14:paraId="5BB1B37E" w14:textId="593D73AA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 xml:space="preserve">Изображение, голос, содержание ответа; при наличии функции </w:t>
      </w:r>
      <w:r w:rsidR="00E01B79">
        <w:rPr>
          <w:color w:val="000000"/>
        </w:rPr>
        <w:t>–</w:t>
      </w:r>
      <w:r>
        <w:rPr>
          <w:color w:val="000000"/>
        </w:rPr>
        <w:t xml:space="preserve"> текстовая расшифровка. Запись не используется для установления личности, не сверяется с паспортом и не обрабатывается системами распознавания лиц. Это не биометрические персональные данные статьи 11 Закона.</w:t>
      </w:r>
    </w:p>
    <w:p w14:paraId="4B3FD56B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Сбор, запись, транскодирование для просмотра, хранение, предоставление доступа работодателю без функции скачивания, резервное копирование, удаление, уничтожение.</w:t>
      </w:r>
    </w:p>
    <w:p w14:paraId="6AEB523E" w14:textId="68AFC16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 xml:space="preserve">Пригласивший работодатель и его допущенные пользователи. Доступ внутри Оператора </w:t>
      </w:r>
      <w:r w:rsidR="00E01B79">
        <w:rPr>
          <w:color w:val="000000"/>
        </w:rPr>
        <w:t>–</w:t>
      </w:r>
      <w:r>
        <w:rPr>
          <w:color w:val="000000"/>
        </w:rPr>
        <w:t xml:space="preserve"> по журналу доступа.</w:t>
      </w:r>
    </w:p>
    <w:p w14:paraId="60BF15B3" w14:textId="1B13339D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 xml:space="preserve">До 90 календарных дней либо до более раннего удаления работодателем или Оператором. Черновик незавершённой записи </w:t>
      </w:r>
      <w:r w:rsidR="00E01B79">
        <w:rPr>
          <w:color w:val="000000"/>
        </w:rPr>
        <w:t>–</w:t>
      </w:r>
      <w:r>
        <w:rPr>
          <w:color w:val="000000"/>
        </w:rPr>
        <w:t xml:space="preserve"> также до 90 дней. При удалении вакансии либо отметке, что кандидат не подходит, видео уничтожается сразу.</w:t>
      </w:r>
    </w:p>
    <w:p w14:paraId="1DB05390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lastRenderedPageBreak/>
        <w:t>Процесс 9. Платный отчёт кандидату</w:t>
      </w:r>
    </w:p>
    <w:p w14:paraId="1082857F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 xml:space="preserve">Сформировать и выдать кандидату файл </w:t>
      </w:r>
      <w:proofErr w:type="gramStart"/>
      <w:r>
        <w:rPr>
          <w:color w:val="000000"/>
        </w:rPr>
        <w:t>отчёта по его оценке</w:t>
      </w:r>
      <w:proofErr w:type="gramEnd"/>
      <w:r>
        <w:rPr>
          <w:color w:val="000000"/>
        </w:rPr>
        <w:t>, принять оплату.</w:t>
      </w:r>
    </w:p>
    <w:p w14:paraId="7A4805DE" w14:textId="5776A408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Пункт 5 части 1 статьи 6 Закона </w:t>
      </w:r>
      <w:r w:rsidR="00E01B79">
        <w:rPr>
          <w:color w:val="000000"/>
        </w:rPr>
        <w:t>–</w:t>
      </w:r>
      <w:r>
        <w:rPr>
          <w:color w:val="000000"/>
        </w:rPr>
        <w:t xml:space="preserve"> договор с кандидатом; согласие кандидата.</w:t>
      </w:r>
    </w:p>
    <w:p w14:paraId="38160059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Кандидаты, которые заказали отчёт.</w:t>
      </w:r>
    </w:p>
    <w:p w14:paraId="3F1822F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Результаты оценки; данные заказа; адрес электронной почты; сумма и идентификатор платежа без реквизитов карты.</w:t>
      </w:r>
    </w:p>
    <w:p w14:paraId="1C02F06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 xml:space="preserve">Построение отчёта, предоставление файла в кабинете, передача сведений </w:t>
      </w:r>
      <w:proofErr w:type="spellStart"/>
      <w:r>
        <w:rPr>
          <w:color w:val="000000"/>
        </w:rPr>
        <w:t>ЮKassa</w:t>
      </w:r>
      <w:proofErr w:type="spellEnd"/>
      <w:r>
        <w:rPr>
          <w:color w:val="000000"/>
        </w:rPr>
        <w:t>, направление чека, хранение, удаление.</w:t>
      </w:r>
    </w:p>
    <w:p w14:paraId="37CE0EAA" w14:textId="25B68082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>Сам кандидат. ООО НКО «</w:t>
      </w:r>
      <w:proofErr w:type="spellStart"/>
      <w:r>
        <w:rPr>
          <w:color w:val="000000"/>
        </w:rPr>
        <w:t>ЮМани</w:t>
      </w:r>
      <w:proofErr w:type="spellEnd"/>
      <w:r>
        <w:rPr>
          <w:color w:val="000000"/>
        </w:rPr>
        <w:t xml:space="preserve">» </w:t>
      </w:r>
      <w:r w:rsidR="00E01B79">
        <w:rPr>
          <w:color w:val="000000"/>
        </w:rPr>
        <w:t>–</w:t>
      </w:r>
      <w:r>
        <w:rPr>
          <w:color w:val="000000"/>
        </w:rPr>
        <w:t xml:space="preserve"> для платежа и чека.</w:t>
      </w:r>
    </w:p>
    <w:p w14:paraId="771568C5" w14:textId="2C1E84EC" w:rsidR="009C1105" w:rsidRPr="00FB1079" w:rsidRDefault="00000000" w:rsidP="00FB1079">
      <w:pPr>
        <w:spacing w:after="140" w:line="276" w:lineRule="auto"/>
        <w:ind w:firstLine="360"/>
        <w:jc w:val="both"/>
        <w:rPr>
          <w:color w:val="000000"/>
        </w:rPr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 xml:space="preserve">Отчёт в кабинете </w:t>
      </w:r>
      <w:r w:rsidR="00FB1079">
        <w:rPr>
          <w:color w:val="000000"/>
        </w:rPr>
        <w:t>–</w:t>
      </w:r>
      <w:r>
        <w:rPr>
          <w:color w:val="000000"/>
        </w:rPr>
        <w:t xml:space="preserve"> до пяти лет либо до удаления аккаунта. Сведения о расчёте </w:t>
      </w:r>
      <w:r w:rsidR="00E01B79">
        <w:rPr>
          <w:color w:val="000000"/>
        </w:rPr>
        <w:t>–</w:t>
      </w:r>
      <w:r>
        <w:rPr>
          <w:color w:val="000000"/>
        </w:rPr>
        <w:t xml:space="preserve"> сроки бухгалтерского и налогового учёта.</w:t>
      </w:r>
    </w:p>
    <w:p w14:paraId="0B6145AE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10. Сервисные письма</w:t>
      </w:r>
    </w:p>
    <w:p w14:paraId="2DBADE48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 xml:space="preserve">Направить письма о регистрации, коде входа, приглашении, напоминании пройти оценку, сроке подписки, </w:t>
      </w:r>
      <w:proofErr w:type="spellStart"/>
      <w:r>
        <w:rPr>
          <w:color w:val="000000"/>
        </w:rPr>
        <w:t>автопродлении</w:t>
      </w:r>
      <w:proofErr w:type="spellEnd"/>
      <w:r>
        <w:rPr>
          <w:color w:val="000000"/>
        </w:rPr>
        <w:t>, ответе поддержки и кассовом чеке.</w:t>
      </w:r>
    </w:p>
    <w:p w14:paraId="74EE413A" w14:textId="3A837DDB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Пункт 5 части 1 статьи 6 Закона </w:t>
      </w:r>
      <w:r w:rsidR="00E01B79">
        <w:rPr>
          <w:color w:val="000000"/>
        </w:rPr>
        <w:t>–</w:t>
      </w:r>
      <w:r>
        <w:rPr>
          <w:color w:val="000000"/>
        </w:rPr>
        <w:t xml:space="preserve"> исполнение договора.</w:t>
      </w:r>
    </w:p>
    <w:p w14:paraId="73493C70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Зарегистрированные клиенты и кандидаты.</w:t>
      </w:r>
    </w:p>
    <w:p w14:paraId="5BA083F4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Адрес электронной почты; имя; содержание конкретного письма.</w:t>
      </w:r>
    </w:p>
    <w:p w14:paraId="37F31DCE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Использование адреса для отправки, хранение факта отправки в логах.</w:t>
      </w:r>
    </w:p>
    <w:p w14:paraId="04CB2C79" w14:textId="0659C43C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 xml:space="preserve">Почтовая инфраструктура </w:t>
      </w:r>
      <w:r w:rsidR="00E01B79">
        <w:rPr>
          <w:color w:val="000000"/>
        </w:rPr>
        <w:t>–</w:t>
      </w:r>
      <w:r>
        <w:rPr>
          <w:color w:val="000000"/>
        </w:rPr>
        <w:t xml:space="preserve"> только для доставки.</w:t>
      </w:r>
    </w:p>
    <w:p w14:paraId="0175E01F" w14:textId="60FB7025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 xml:space="preserve">Логи отправки </w:t>
      </w:r>
      <w:r w:rsidR="00E01B79">
        <w:rPr>
          <w:color w:val="000000"/>
        </w:rPr>
        <w:t>–</w:t>
      </w:r>
      <w:r>
        <w:rPr>
          <w:color w:val="000000"/>
        </w:rPr>
        <w:t xml:space="preserve"> до трёх лет. Сам адрес живёт вместе с учётной записью.</w:t>
      </w:r>
    </w:p>
    <w:p w14:paraId="2223C7A6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11. Рекламные и акционные письма</w:t>
      </w:r>
    </w:p>
    <w:p w14:paraId="51AF0299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Направить информацию об акциях и новых возможностях Сервиса.</w:t>
      </w:r>
    </w:p>
    <w:p w14:paraId="42037E03" w14:textId="07EFA282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Пункт 1 части 1 статьи 6 Закона и статья 18 Федерального закона «О рекламе» </w:t>
      </w:r>
      <w:r w:rsidR="00E01B79">
        <w:rPr>
          <w:color w:val="000000"/>
        </w:rPr>
        <w:t>–</w:t>
      </w:r>
      <w:r>
        <w:rPr>
          <w:color w:val="000000"/>
        </w:rPr>
        <w:t xml:space="preserve"> только отдельное согласие.</w:t>
      </w:r>
    </w:p>
    <w:p w14:paraId="1B0613D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Лица, отдельно согласившиеся на рекламную рассылку.</w:t>
      </w:r>
    </w:p>
    <w:p w14:paraId="53338494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Адрес электронной почты; имя, если указано.</w:t>
      </w:r>
    </w:p>
    <w:p w14:paraId="7A72166D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Использование адреса для рассылки, прекращение по отписке или отзыву согласия.</w:t>
      </w:r>
    </w:p>
    <w:p w14:paraId="05D34CB0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>До отзыва согласия либо до удаления учётной записи.</w:t>
      </w:r>
    </w:p>
    <w:p w14:paraId="16319D6F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12. Поддержка пользователей</w:t>
      </w:r>
    </w:p>
    <w:p w14:paraId="08716639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Рассмотреть обращение из раздела «Поддержка» либо письмо на info@talantiq.ru.</w:t>
      </w:r>
    </w:p>
    <w:p w14:paraId="016B4358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>Пункт 5 части 1 статьи 6 Закона; согласие; статья 20 Закона по запросам субъектов.</w:t>
      </w:r>
    </w:p>
    <w:p w14:paraId="0B034803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lastRenderedPageBreak/>
        <w:t xml:space="preserve">Субъекты. </w:t>
      </w:r>
      <w:r>
        <w:rPr>
          <w:color w:val="000000"/>
        </w:rPr>
        <w:t>Клиенты, кандидаты, посетители, направившие обращение.</w:t>
      </w:r>
    </w:p>
    <w:p w14:paraId="17EE41AF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Фамилия, имя, отчество; адрес электронной почты; содержание обращения; сведения, которые заявитель приложил сам.</w:t>
      </w:r>
    </w:p>
    <w:p w14:paraId="2A5A8418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Сбор, хранение, использование для ответа, удаление после истечения срока.</w:t>
      </w:r>
    </w:p>
    <w:p w14:paraId="6D8A60A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>Владелец Сервиса, администратор и помощники администратора, которым поручен разбор обращения.</w:t>
      </w:r>
    </w:p>
    <w:p w14:paraId="70ABA7C5" w14:textId="0E6A6778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 xml:space="preserve">Срок ответа по обращениям поддержки </w:t>
      </w:r>
      <w:r w:rsidR="00E01B79">
        <w:rPr>
          <w:color w:val="000000"/>
        </w:rPr>
        <w:t>–</w:t>
      </w:r>
      <w:r>
        <w:rPr>
          <w:color w:val="000000"/>
        </w:rPr>
        <w:t xml:space="preserve"> три рабочих дня. Срок ответа по запросу субъекта </w:t>
      </w:r>
      <w:r w:rsidR="00E01B79">
        <w:rPr>
          <w:color w:val="000000"/>
        </w:rPr>
        <w:t>–</w:t>
      </w:r>
      <w:r>
        <w:rPr>
          <w:color w:val="000000"/>
        </w:rPr>
        <w:t xml:space="preserve"> 10 рабочих дней с продлением не более чем на 5 рабочих дней. Материалы обращения хранятся до трёх лет.</w:t>
      </w:r>
    </w:p>
    <w:p w14:paraId="04502DC7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13. Безопасность, предотвращение мошенничества и журналирование</w:t>
      </w:r>
    </w:p>
    <w:p w14:paraId="12F8CC7D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 xml:space="preserve">Защитить кабинеты, выявить неправомерный доступ, фиксировать вход и доступ к </w:t>
      </w:r>
      <w:proofErr w:type="spellStart"/>
      <w:r>
        <w:rPr>
          <w:color w:val="000000"/>
        </w:rPr>
        <w:t>видеоответам</w:t>
      </w:r>
      <w:proofErr w:type="spellEnd"/>
      <w:r>
        <w:rPr>
          <w:color w:val="000000"/>
        </w:rPr>
        <w:t xml:space="preserve"> и результатам.</w:t>
      </w:r>
    </w:p>
    <w:p w14:paraId="6DC99CCB" w14:textId="3CF2C8A2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 xml:space="preserve">Пункт 5 части 1 статьи 6 Закона </w:t>
      </w:r>
      <w:r w:rsidR="00E01B79">
        <w:rPr>
          <w:color w:val="000000"/>
        </w:rPr>
        <w:t>–</w:t>
      </w:r>
      <w:r>
        <w:rPr>
          <w:color w:val="000000"/>
        </w:rPr>
        <w:t xml:space="preserve"> законный интерес безопасности Сервиса и исполнения обязанностей статьи 19 Закона.</w:t>
      </w:r>
    </w:p>
    <w:p w14:paraId="6A90F93A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Все пользователи, совершающие вход либо действия в кабинетах.</w:t>
      </w:r>
    </w:p>
    <w:p w14:paraId="56B60C0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IP-адрес; дата и время входа; идентификатор учётной записи; сведения о действии в журнале доступа к видео и результатам.</w:t>
      </w:r>
    </w:p>
    <w:p w14:paraId="20F90A5E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Сбор, запись в журнал, использование для разбора инцидентов, хранение, уничтожение.</w:t>
      </w:r>
    </w:p>
    <w:p w14:paraId="0D0F821B" w14:textId="48FEB33E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 xml:space="preserve">Ответственный за организацию обработки. Государственные органы </w:t>
      </w:r>
      <w:r w:rsidR="00E01B79">
        <w:rPr>
          <w:color w:val="000000"/>
        </w:rPr>
        <w:t>–</w:t>
      </w:r>
      <w:r>
        <w:rPr>
          <w:color w:val="000000"/>
        </w:rPr>
        <w:t xml:space="preserve"> по закону.</w:t>
      </w:r>
    </w:p>
    <w:p w14:paraId="26FF0400" w14:textId="2296C0D9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 xml:space="preserve">Логи и журнал доступа </w:t>
      </w:r>
      <w:r w:rsidR="00E01B79">
        <w:rPr>
          <w:color w:val="000000"/>
        </w:rPr>
        <w:t>–</w:t>
      </w:r>
      <w:r>
        <w:rPr>
          <w:color w:val="000000"/>
        </w:rPr>
        <w:t xml:space="preserve"> три года.</w:t>
      </w:r>
    </w:p>
    <w:p w14:paraId="204944B3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14. Обезличенная статистика для улучшения методик</w:t>
      </w:r>
    </w:p>
    <w:p w14:paraId="35DD528E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Улучшать методики и устойчивость шкал на обезличенных данных.</w:t>
      </w:r>
    </w:p>
    <w:p w14:paraId="06B4EF06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Основание. </w:t>
      </w:r>
      <w:r>
        <w:rPr>
          <w:color w:val="000000"/>
        </w:rPr>
        <w:t>Пункт 5 части 1 статьи 6 Закона; условия оферт.</w:t>
      </w:r>
    </w:p>
    <w:p w14:paraId="6642800F" w14:textId="66BEABAD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 xml:space="preserve">Кандидаты и работники, прошедшие оценку, </w:t>
      </w:r>
      <w:r w:rsidR="00E01B79">
        <w:rPr>
          <w:color w:val="000000"/>
        </w:rPr>
        <w:t>м</w:t>
      </w:r>
      <w:r>
        <w:rPr>
          <w:color w:val="000000"/>
        </w:rPr>
        <w:t xml:space="preserve"> без идентификации.</w:t>
      </w:r>
    </w:p>
    <w:p w14:paraId="2037B936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Распределения баллов, средние значения, частотность ответов. Без фамилии, контактов, видео и указания конкретного работодателя как источника конкретного лица.</w:t>
      </w:r>
    </w:p>
    <w:p w14:paraId="14C90677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Обезличивание, использование внутри Сервиса, хранение агрегатов.</w:t>
      </w:r>
    </w:p>
    <w:p w14:paraId="7F09BF6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Получатели. </w:t>
      </w:r>
      <w:r>
        <w:rPr>
          <w:color w:val="000000"/>
        </w:rPr>
        <w:t>Только Оператор. Другим клиентам персональные данные не передаются.</w:t>
      </w:r>
    </w:p>
    <w:p w14:paraId="3400806D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>Агрегированные модели хранятся, пока используются для развития Сервиса. Восстановить субъекта из них нельзя.</w:t>
      </w:r>
    </w:p>
    <w:p w14:paraId="124B9D4F" w14:textId="77777777" w:rsidR="009C1105" w:rsidRDefault="00000000">
      <w:pPr>
        <w:keepNext/>
        <w:spacing w:before="280" w:after="120"/>
      </w:pPr>
      <w:r>
        <w:rPr>
          <w:b/>
          <w:bCs/>
          <w:color w:val="2C4A6E"/>
          <w:sz w:val="26"/>
          <w:szCs w:val="26"/>
        </w:rPr>
        <w:t>Процесс 15. Хранение согласия и лога акцепта</w:t>
      </w:r>
    </w:p>
    <w:p w14:paraId="79DE8CA7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Цель. </w:t>
      </w:r>
      <w:r>
        <w:rPr>
          <w:color w:val="000000"/>
        </w:rPr>
        <w:t>Подтвердить факт согласия и акцепта оферты по запросу субъекта либо Роскомнадзора.</w:t>
      </w:r>
    </w:p>
    <w:p w14:paraId="69C6E24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lastRenderedPageBreak/>
        <w:t xml:space="preserve">Основание. </w:t>
      </w:r>
      <w:r>
        <w:rPr>
          <w:color w:val="000000"/>
        </w:rPr>
        <w:t>Статья 9 Закона; обязанность Оператора доказать наличие согласия.</w:t>
      </w:r>
    </w:p>
    <w:p w14:paraId="0DE357CC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Субъекты. </w:t>
      </w:r>
      <w:r>
        <w:rPr>
          <w:color w:val="000000"/>
        </w:rPr>
        <w:t>Лица, проставившие чекбоксы на Сайте.</w:t>
      </w:r>
    </w:p>
    <w:p w14:paraId="65ABE1B5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Данные. </w:t>
      </w:r>
      <w:r>
        <w:rPr>
          <w:color w:val="000000"/>
        </w:rPr>
        <w:t>Дата и время отметки; IP-адрес; версия документа; вид данного согласия или акцепта.</w:t>
      </w:r>
    </w:p>
    <w:p w14:paraId="0DFECA3A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Действия. </w:t>
      </w:r>
      <w:r>
        <w:rPr>
          <w:color w:val="000000"/>
        </w:rPr>
        <w:t>Запись, хранение, предоставление уполномоченному органу по запросу, уничтожение после срока.</w:t>
      </w:r>
    </w:p>
    <w:p w14:paraId="02A0D503" w14:textId="77777777" w:rsidR="009C1105" w:rsidRDefault="00000000">
      <w:pPr>
        <w:spacing w:after="140" w:line="276" w:lineRule="auto"/>
        <w:ind w:firstLine="360"/>
        <w:jc w:val="both"/>
      </w:pPr>
      <w:r>
        <w:rPr>
          <w:b/>
          <w:bCs/>
          <w:color w:val="000000"/>
        </w:rPr>
        <w:t xml:space="preserve">Срок. </w:t>
      </w:r>
      <w:r>
        <w:rPr>
          <w:color w:val="000000"/>
        </w:rPr>
        <w:t>Весь срок обработки плюс три года после её окончания.</w:t>
      </w:r>
    </w:p>
    <w:p w14:paraId="6F188192" w14:textId="77777777" w:rsidR="009C1105" w:rsidRDefault="00000000">
      <w:pPr>
        <w:keepNext/>
        <w:pBdr>
          <w:bottom w:val="single" w:sz="12" w:space="4" w:color="1B365D"/>
        </w:pBdr>
        <w:spacing w:before="280" w:after="160"/>
      </w:pPr>
      <w:r>
        <w:rPr>
          <w:b/>
          <w:bCs/>
          <w:color w:val="1B365D"/>
          <w:sz w:val="26"/>
          <w:szCs w:val="26"/>
        </w:rPr>
        <w:t>Кто имеет доступ внутри Оператора</w:t>
      </w:r>
    </w:p>
    <w:p w14:paraId="1A2FA1B3" w14:textId="77777777" w:rsidR="009C1105" w:rsidRDefault="00000000">
      <w:pPr>
        <w:spacing w:after="140" w:line="276" w:lineRule="auto"/>
        <w:ind w:firstLine="360"/>
        <w:jc w:val="both"/>
      </w:pPr>
      <w:r>
        <w:rPr>
          <w:color w:val="000000"/>
        </w:rPr>
        <w:t xml:space="preserve">Ко всем процессам, кроме чисто технических логов защиты, доступ имеют владелец Сервиса и администратор. Помощники администратора получают доступ только в пределах назначенной функции поддержки. Работодатель и его помощники видят данные своих кандидатов и работников по процессам 6, 7 и 8. Кандидат видит только свои данные. Перечень лиц, допущенных к </w:t>
      </w:r>
      <w:proofErr w:type="spellStart"/>
      <w:r>
        <w:rPr>
          <w:color w:val="000000"/>
        </w:rPr>
        <w:t>видеоответам</w:t>
      </w:r>
      <w:proofErr w:type="spellEnd"/>
      <w:r>
        <w:rPr>
          <w:color w:val="000000"/>
        </w:rPr>
        <w:t xml:space="preserve"> и результатам, фиксируется в журнале доступа.</w:t>
      </w:r>
    </w:p>
    <w:p w14:paraId="305B0A66" w14:textId="77777777" w:rsidR="009C1105" w:rsidRDefault="00000000">
      <w:pPr>
        <w:keepNext/>
        <w:pBdr>
          <w:bottom w:val="single" w:sz="12" w:space="4" w:color="1B365D"/>
        </w:pBdr>
        <w:spacing w:before="280" w:after="160"/>
      </w:pPr>
      <w:r>
        <w:rPr>
          <w:b/>
          <w:bCs/>
          <w:color w:val="1B365D"/>
          <w:sz w:val="26"/>
          <w:szCs w:val="26"/>
        </w:rPr>
        <w:t>Порядок актуализации</w:t>
      </w:r>
    </w:p>
    <w:p w14:paraId="2FAAB1A3" w14:textId="77777777" w:rsidR="009C1105" w:rsidRDefault="00000000">
      <w:pPr>
        <w:spacing w:after="140" w:line="276" w:lineRule="auto"/>
        <w:ind w:firstLine="360"/>
        <w:jc w:val="both"/>
      </w:pPr>
      <w:r>
        <w:rPr>
          <w:color w:val="000000"/>
        </w:rPr>
        <w:t>Перечень пересматривается при появлении новой цели обработки, нового получателя либо нового срока хранения. Изменения утверждаются ответственным за организацию обработки персональных данных. Документ внутренний и на Сайте не публикуется.</w:t>
      </w:r>
    </w:p>
    <w:p w14:paraId="426D981A" w14:textId="77777777" w:rsidR="009C1105" w:rsidRDefault="009C1105">
      <w:pPr>
        <w:spacing w:after="200"/>
      </w:pPr>
    </w:p>
    <w:p w14:paraId="0170E7C7" w14:textId="77777777" w:rsidR="009C1105" w:rsidRDefault="00000000">
      <w:pPr>
        <w:spacing w:after="40" w:line="276" w:lineRule="auto"/>
      </w:pPr>
      <w:r>
        <w:rPr>
          <w:b/>
          <w:bCs/>
          <w:color w:val="000000"/>
        </w:rPr>
        <w:t>Индивидуальный предприниматель Рожков Р. А.</w:t>
      </w:r>
    </w:p>
    <w:p w14:paraId="637877F6" w14:textId="77777777" w:rsidR="009C1105" w:rsidRDefault="00000000">
      <w:pPr>
        <w:spacing w:after="40" w:line="276" w:lineRule="auto"/>
      </w:pPr>
      <w:r>
        <w:rPr>
          <w:color w:val="000000"/>
        </w:rPr>
        <w:t>_______________ / Рожков Р. А. /</w:t>
      </w:r>
    </w:p>
    <w:p w14:paraId="1F9EFAD4" w14:textId="77777777" w:rsidR="009C1105" w:rsidRDefault="00000000">
      <w:pPr>
        <w:spacing w:after="200" w:line="276" w:lineRule="auto"/>
      </w:pPr>
      <w:r>
        <w:rPr>
          <w:color w:val="000000"/>
        </w:rPr>
        <w:t>14 сентября 2026 г.</w:t>
      </w:r>
    </w:p>
    <w:sectPr w:rsidR="009C1105">
      <w:headerReference w:type="default" r:id="rId7"/>
      <w:footerReference w:type="default" r:id="rId8"/>
      <w:pgSz w:w="11906" w:h="16838"/>
      <w:pgMar w:top="1134" w:right="1134" w:bottom="1134" w:left="1418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D49393" w14:textId="77777777" w:rsidR="00145867" w:rsidRDefault="00145867">
      <w:r>
        <w:separator/>
      </w:r>
    </w:p>
  </w:endnote>
  <w:endnote w:type="continuationSeparator" w:id="0">
    <w:p w14:paraId="0116C4E8" w14:textId="77777777" w:rsidR="00145867" w:rsidRDefault="001458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73F36B" w14:textId="77777777" w:rsidR="009C1105" w:rsidRDefault="00000000">
    <w:pPr>
      <w:pBdr>
        <w:top w:val="single" w:sz="6" w:space="8" w:color="1B365D"/>
      </w:pBdr>
      <w:spacing w:before="80"/>
      <w:jc w:val="center"/>
    </w:pPr>
    <w:r>
      <w:rPr>
        <w:color w:val="555555"/>
        <w:sz w:val="16"/>
        <w:szCs w:val="16"/>
      </w:rPr>
      <w:t xml:space="preserve">Редакция от </w:t>
    </w:r>
    <w:proofErr w:type="gramStart"/>
    <w:r>
      <w:rPr>
        <w:color w:val="555555"/>
        <w:sz w:val="16"/>
        <w:szCs w:val="16"/>
      </w:rPr>
      <w:t>14.09.2026  ·</w:t>
    </w:r>
    <w:proofErr w:type="gramEnd"/>
    <w:r>
      <w:rPr>
        <w:color w:val="555555"/>
        <w:sz w:val="16"/>
        <w:szCs w:val="16"/>
      </w:rPr>
      <w:t xml:space="preserve">  стр. </w:t>
    </w:r>
    <w:r>
      <w:rPr>
        <w:color w:val="555555"/>
        <w:sz w:val="16"/>
        <w:szCs w:val="16"/>
      </w:rPr>
      <w:fldChar w:fldCharType="begin"/>
    </w:r>
    <w:r>
      <w:rPr>
        <w:color w:val="555555"/>
        <w:sz w:val="16"/>
        <w:szCs w:val="16"/>
      </w:rPr>
      <w:instrText>PAGE</w:instrText>
    </w:r>
    <w:r>
      <w:rPr>
        <w:color w:val="555555"/>
        <w:sz w:val="16"/>
        <w:szCs w:val="16"/>
      </w:rPr>
      <w:fldChar w:fldCharType="separate"/>
    </w:r>
    <w:r w:rsidR="00E01B79">
      <w:rPr>
        <w:noProof/>
        <w:color w:val="555555"/>
        <w:sz w:val="16"/>
        <w:szCs w:val="16"/>
      </w:rPr>
      <w:t>1</w:t>
    </w:r>
    <w:r>
      <w:rPr>
        <w:color w:val="555555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B2713B" w14:textId="77777777" w:rsidR="00145867" w:rsidRDefault="00145867">
      <w:r>
        <w:separator/>
      </w:r>
    </w:p>
  </w:footnote>
  <w:footnote w:type="continuationSeparator" w:id="0">
    <w:p w14:paraId="02CEF4B8" w14:textId="77777777" w:rsidR="00145867" w:rsidRDefault="001458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EF7238" w14:textId="77777777" w:rsidR="009C1105" w:rsidRDefault="00000000">
    <w:pPr>
      <w:pBdr>
        <w:bottom w:val="single" w:sz="6" w:space="6" w:color="1B365D"/>
      </w:pBdr>
      <w:spacing w:after="120"/>
      <w:jc w:val="right"/>
    </w:pPr>
    <w:r>
      <w:rPr>
        <w:color w:val="555555"/>
        <w:sz w:val="16"/>
        <w:szCs w:val="16"/>
      </w:rPr>
      <w:t xml:space="preserve">Перечень процессов обработки </w:t>
    </w:r>
    <w:proofErr w:type="spellStart"/>
    <w:proofErr w:type="gramStart"/>
    <w:r>
      <w:rPr>
        <w:color w:val="555555"/>
        <w:sz w:val="16"/>
        <w:szCs w:val="16"/>
      </w:rPr>
      <w:t>ПДн</w:t>
    </w:r>
    <w:proofErr w:type="spellEnd"/>
    <w:r>
      <w:rPr>
        <w:color w:val="555555"/>
        <w:sz w:val="16"/>
        <w:szCs w:val="16"/>
      </w:rPr>
      <w:t xml:space="preserve">  ·</w:t>
    </w:r>
    <w:proofErr w:type="gramEnd"/>
    <w:r>
      <w:rPr>
        <w:color w:val="555555"/>
        <w:sz w:val="16"/>
        <w:szCs w:val="16"/>
      </w:rPr>
      <w:t xml:space="preserve">  внутренний </w:t>
    </w:r>
    <w:proofErr w:type="gramStart"/>
    <w:r>
      <w:rPr>
        <w:color w:val="555555"/>
        <w:sz w:val="16"/>
        <w:szCs w:val="16"/>
      </w:rPr>
      <w:t>документ  ·</w:t>
    </w:r>
    <w:proofErr w:type="gramEnd"/>
    <w:r>
      <w:rPr>
        <w:color w:val="555555"/>
        <w:sz w:val="16"/>
        <w:szCs w:val="16"/>
      </w:rPr>
      <w:t xml:space="preserve">  </w:t>
    </w:r>
    <w:proofErr w:type="spellStart"/>
    <w:r>
      <w:rPr>
        <w:color w:val="555555"/>
        <w:sz w:val="16"/>
        <w:szCs w:val="16"/>
      </w:rPr>
      <w:t>Talantiq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E84A4C"/>
    <w:multiLevelType w:val="hybridMultilevel"/>
    <w:tmpl w:val="F484FF86"/>
    <w:lvl w:ilvl="0" w:tplc="52804E60">
      <w:start w:val="1"/>
      <w:numFmt w:val="bullet"/>
      <w:lvlText w:val="•"/>
      <w:lvlJc w:val="left"/>
      <w:pPr>
        <w:ind w:left="720" w:hanging="360"/>
      </w:pPr>
    </w:lvl>
    <w:lvl w:ilvl="1" w:tplc="0B1CA904">
      <w:numFmt w:val="decimal"/>
      <w:lvlText w:val=""/>
      <w:lvlJc w:val="left"/>
    </w:lvl>
    <w:lvl w:ilvl="2" w:tplc="7D6ACC44">
      <w:numFmt w:val="decimal"/>
      <w:lvlText w:val=""/>
      <w:lvlJc w:val="left"/>
    </w:lvl>
    <w:lvl w:ilvl="3" w:tplc="DD06AFDA">
      <w:numFmt w:val="decimal"/>
      <w:lvlText w:val=""/>
      <w:lvlJc w:val="left"/>
    </w:lvl>
    <w:lvl w:ilvl="4" w:tplc="AF1681AA">
      <w:numFmt w:val="decimal"/>
      <w:lvlText w:val=""/>
      <w:lvlJc w:val="left"/>
    </w:lvl>
    <w:lvl w:ilvl="5" w:tplc="F106FBF2">
      <w:numFmt w:val="decimal"/>
      <w:lvlText w:val=""/>
      <w:lvlJc w:val="left"/>
    </w:lvl>
    <w:lvl w:ilvl="6" w:tplc="30988E6C">
      <w:numFmt w:val="decimal"/>
      <w:lvlText w:val=""/>
      <w:lvlJc w:val="left"/>
    </w:lvl>
    <w:lvl w:ilvl="7" w:tplc="30B61BC8">
      <w:numFmt w:val="decimal"/>
      <w:lvlText w:val=""/>
      <w:lvlJc w:val="left"/>
    </w:lvl>
    <w:lvl w:ilvl="8" w:tplc="1DD039DA">
      <w:numFmt w:val="decimal"/>
      <w:lvlText w:val=""/>
      <w:lvlJc w:val="left"/>
    </w:lvl>
  </w:abstractNum>
  <w:abstractNum w:abstractNumId="1" w15:restartNumberingAfterBreak="0">
    <w:nsid w:val="7B10568C"/>
    <w:multiLevelType w:val="hybridMultilevel"/>
    <w:tmpl w:val="191A3CA8"/>
    <w:lvl w:ilvl="0" w:tplc="87FE86C6">
      <w:start w:val="1"/>
      <w:numFmt w:val="bullet"/>
      <w:lvlText w:val="●"/>
      <w:lvlJc w:val="left"/>
      <w:pPr>
        <w:ind w:left="720" w:hanging="360"/>
      </w:pPr>
    </w:lvl>
    <w:lvl w:ilvl="1" w:tplc="FE9062C2">
      <w:start w:val="1"/>
      <w:numFmt w:val="bullet"/>
      <w:lvlText w:val="○"/>
      <w:lvlJc w:val="left"/>
      <w:pPr>
        <w:ind w:left="1440" w:hanging="360"/>
      </w:pPr>
    </w:lvl>
    <w:lvl w:ilvl="2" w:tplc="12D00B48">
      <w:start w:val="1"/>
      <w:numFmt w:val="bullet"/>
      <w:lvlText w:val="■"/>
      <w:lvlJc w:val="left"/>
      <w:pPr>
        <w:ind w:left="2160" w:hanging="360"/>
      </w:pPr>
    </w:lvl>
    <w:lvl w:ilvl="3" w:tplc="2DC8DB3C">
      <w:start w:val="1"/>
      <w:numFmt w:val="bullet"/>
      <w:lvlText w:val="●"/>
      <w:lvlJc w:val="left"/>
      <w:pPr>
        <w:ind w:left="2880" w:hanging="360"/>
      </w:pPr>
    </w:lvl>
    <w:lvl w:ilvl="4" w:tplc="1DA48758">
      <w:start w:val="1"/>
      <w:numFmt w:val="bullet"/>
      <w:lvlText w:val="○"/>
      <w:lvlJc w:val="left"/>
      <w:pPr>
        <w:ind w:left="3600" w:hanging="360"/>
      </w:pPr>
    </w:lvl>
    <w:lvl w:ilvl="5" w:tplc="E3967C28">
      <w:start w:val="1"/>
      <w:numFmt w:val="bullet"/>
      <w:lvlText w:val="■"/>
      <w:lvlJc w:val="left"/>
      <w:pPr>
        <w:ind w:left="4320" w:hanging="360"/>
      </w:pPr>
    </w:lvl>
    <w:lvl w:ilvl="6" w:tplc="760ADF8E">
      <w:start w:val="1"/>
      <w:numFmt w:val="bullet"/>
      <w:lvlText w:val="●"/>
      <w:lvlJc w:val="left"/>
      <w:pPr>
        <w:ind w:left="5040" w:hanging="360"/>
      </w:pPr>
    </w:lvl>
    <w:lvl w:ilvl="7" w:tplc="E0D28496">
      <w:start w:val="1"/>
      <w:numFmt w:val="bullet"/>
      <w:lvlText w:val="●"/>
      <w:lvlJc w:val="left"/>
      <w:pPr>
        <w:ind w:left="5760" w:hanging="360"/>
      </w:pPr>
    </w:lvl>
    <w:lvl w:ilvl="8" w:tplc="D13A493C">
      <w:start w:val="1"/>
      <w:numFmt w:val="bullet"/>
      <w:lvlText w:val="●"/>
      <w:lvlJc w:val="left"/>
      <w:pPr>
        <w:ind w:left="6480" w:hanging="360"/>
      </w:pPr>
    </w:lvl>
  </w:abstractNum>
  <w:num w:numId="1" w16cid:durableId="2114089749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6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1105"/>
    <w:rsid w:val="00145867"/>
    <w:rsid w:val="00257869"/>
    <w:rsid w:val="009C1105"/>
    <w:rsid w:val="00C97687"/>
    <w:rsid w:val="00E01B79"/>
    <w:rsid w:val="00FB1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EA9351"/>
  <w15:docId w15:val="{5075A00C-D0D4-1740-A760-F94A00739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2090</Words>
  <Characters>11913</Characters>
  <Application>Microsoft Office Word</Application>
  <DocSecurity>0</DocSecurity>
  <Lines>99</Lines>
  <Paragraphs>27</Paragraphs>
  <ScaleCrop>false</ScaleCrop>
  <Company/>
  <LinksUpToDate>false</LinksUpToDate>
  <CharactersWithSpaces>13976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3</cp:revision>
  <dcterms:created xsi:type="dcterms:W3CDTF">2026-09-14T10:56:00Z</dcterms:created>
  <dcterms:modified xsi:type="dcterms:W3CDTF">2026-09-14T10:57:00Z</dcterms:modified>
</cp:coreProperties>
</file>